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6E" w:rsidRDefault="00154107">
      <w:pPr>
        <w:spacing w:before="4" w:line="160" w:lineRule="exac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-566420</wp:posOffset>
                </wp:positionV>
                <wp:extent cx="4881880" cy="1042670"/>
                <wp:effectExtent l="0" t="0" r="0" b="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880" cy="10426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AA2" w:rsidRPr="004B577B" w:rsidRDefault="00C74AA2" w:rsidP="004B577B">
                            <w:pPr>
                              <w:jc w:val="center"/>
                              <w:rPr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 w:rsidRPr="004B577B">
                              <w:rPr>
                                <w:color w:val="FFFFFF" w:themeColor="background1"/>
                                <w:sz w:val="120"/>
                                <w:szCs w:val="120"/>
                              </w:rPr>
                              <w:t>IMPACT 201</w:t>
                            </w:r>
                            <w:r>
                              <w:rPr>
                                <w:color w:val="FFFFFF" w:themeColor="background1"/>
                                <w:sz w:val="120"/>
                                <w:szCs w:val="1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146pt;margin-top:-44.6pt;width:384.4pt;height:8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" fillcolor="#365f91 [2404]" stroked="f">
                <v:textbox>
                  <w:txbxContent>
                    <w:p w:rsidR="00C74AA2" w:rsidRPr="004B577B" w:rsidRDefault="00C74AA2" w:rsidP="004B577B">
                      <w:pPr>
                        <w:jc w:val="center"/>
                        <w:rPr>
                          <w:color w:val="FFFFFF" w:themeColor="background1"/>
                          <w:sz w:val="120"/>
                          <w:szCs w:val="120"/>
                        </w:rPr>
                      </w:pPr>
                      <w:r w:rsidRPr="004B577B">
                        <w:rPr>
                          <w:color w:val="FFFFFF" w:themeColor="background1"/>
                          <w:sz w:val="120"/>
                          <w:szCs w:val="120"/>
                        </w:rPr>
                        <w:t>IMPACT 201</w:t>
                      </w:r>
                      <w:r>
                        <w:rPr>
                          <w:color w:val="FFFFFF" w:themeColor="background1"/>
                          <w:sz w:val="120"/>
                          <w:szCs w:val="1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-495300</wp:posOffset>
            </wp:positionV>
            <wp:extent cx="1579880" cy="1714500"/>
            <wp:effectExtent l="0" t="0" r="127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16E" w:rsidRDefault="005E716E">
      <w:pPr>
        <w:spacing w:line="200" w:lineRule="exact"/>
        <w:rPr>
          <w:sz w:val="20"/>
          <w:szCs w:val="20"/>
        </w:rPr>
      </w:pPr>
    </w:p>
    <w:p w:rsidR="005E716E" w:rsidRDefault="005E716E">
      <w:pPr>
        <w:spacing w:line="200" w:lineRule="exact"/>
        <w:rPr>
          <w:sz w:val="20"/>
          <w:szCs w:val="20"/>
        </w:rPr>
      </w:pPr>
    </w:p>
    <w:p w:rsidR="005E716E" w:rsidRDefault="005E716E">
      <w:pPr>
        <w:spacing w:line="200" w:lineRule="exact"/>
        <w:rPr>
          <w:sz w:val="20"/>
          <w:szCs w:val="20"/>
        </w:rPr>
      </w:pPr>
    </w:p>
    <w:p w:rsidR="005E716E" w:rsidRPr="008A30E5" w:rsidRDefault="004E132C" w:rsidP="008A30E5">
      <w:pPr>
        <w:pStyle w:val="Heading1"/>
        <w:spacing w:before="65" w:line="242" w:lineRule="auto"/>
        <w:ind w:left="3145" w:right="570"/>
        <w:jc w:val="center"/>
        <w:rPr>
          <w:rFonts w:asciiTheme="minorHAnsi" w:hAnsiTheme="minorHAnsi"/>
          <w:b w:val="0"/>
          <w:bCs w:val="0"/>
        </w:rPr>
      </w:pPr>
      <w:r w:rsidRPr="008A30E5">
        <w:rPr>
          <w:rFonts w:asciiTheme="minorHAnsi" w:hAnsiTheme="minorHAnsi"/>
          <w:color w:val="2756A2"/>
          <w:spacing w:val="-1"/>
        </w:rPr>
        <w:t>Through</w:t>
      </w:r>
      <w:r w:rsidRPr="008A30E5">
        <w:rPr>
          <w:rFonts w:asciiTheme="minorHAnsi" w:hAnsiTheme="minorHAnsi"/>
          <w:color w:val="2756A2"/>
          <w:spacing w:val="1"/>
        </w:rPr>
        <w:t xml:space="preserve"> </w:t>
      </w:r>
      <w:r w:rsidRPr="008A30E5">
        <w:rPr>
          <w:rFonts w:asciiTheme="minorHAnsi" w:hAnsiTheme="minorHAnsi"/>
          <w:color w:val="2756A2"/>
          <w:spacing w:val="-1"/>
        </w:rPr>
        <w:t>Extension</w:t>
      </w:r>
      <w:r w:rsidRPr="008A30E5">
        <w:rPr>
          <w:rFonts w:asciiTheme="minorHAnsi" w:hAnsiTheme="minorHAnsi"/>
          <w:color w:val="2756A2"/>
        </w:rPr>
        <w:t xml:space="preserve"> </w:t>
      </w:r>
      <w:r w:rsidRPr="008A30E5">
        <w:rPr>
          <w:rFonts w:asciiTheme="minorHAnsi" w:hAnsiTheme="minorHAnsi"/>
          <w:color w:val="2756A2"/>
          <w:spacing w:val="-1"/>
        </w:rPr>
        <w:t>programs</w:t>
      </w:r>
      <w:r w:rsidRPr="008A30E5">
        <w:rPr>
          <w:rFonts w:asciiTheme="minorHAnsi" w:hAnsiTheme="minorHAnsi"/>
          <w:color w:val="2756A2"/>
        </w:rPr>
        <w:t xml:space="preserve"> across </w:t>
      </w:r>
      <w:r w:rsidRPr="008A30E5">
        <w:rPr>
          <w:rFonts w:asciiTheme="minorHAnsi" w:hAnsiTheme="minorHAnsi"/>
          <w:color w:val="2756A2"/>
          <w:spacing w:val="-1"/>
        </w:rPr>
        <w:t>the</w:t>
      </w:r>
      <w:r w:rsidRPr="008A30E5">
        <w:rPr>
          <w:rFonts w:asciiTheme="minorHAnsi" w:hAnsiTheme="minorHAnsi"/>
          <w:color w:val="2756A2"/>
        </w:rPr>
        <w:t xml:space="preserve"> </w:t>
      </w:r>
      <w:r w:rsidRPr="008A30E5">
        <w:rPr>
          <w:rFonts w:asciiTheme="minorHAnsi" w:hAnsiTheme="minorHAnsi"/>
          <w:color w:val="2756A2"/>
          <w:spacing w:val="-1"/>
        </w:rPr>
        <w:t>nation,</w:t>
      </w:r>
      <w:r w:rsidRPr="008A30E5">
        <w:rPr>
          <w:rFonts w:asciiTheme="minorHAnsi" w:hAnsiTheme="minorHAnsi"/>
          <w:color w:val="2756A2"/>
        </w:rPr>
        <w:t xml:space="preserve"> </w:t>
      </w:r>
      <w:r w:rsidRPr="008A30E5">
        <w:rPr>
          <w:rFonts w:asciiTheme="minorHAnsi" w:hAnsiTheme="minorHAnsi"/>
          <w:color w:val="2756A2"/>
          <w:spacing w:val="-1"/>
        </w:rPr>
        <w:t>Family</w:t>
      </w:r>
      <w:r w:rsidRPr="008A30E5">
        <w:rPr>
          <w:rFonts w:asciiTheme="minorHAnsi" w:hAnsiTheme="minorHAnsi"/>
          <w:color w:val="2756A2"/>
        </w:rPr>
        <w:t xml:space="preserve"> and</w:t>
      </w:r>
      <w:r w:rsidRPr="008A30E5">
        <w:rPr>
          <w:rFonts w:asciiTheme="minorHAnsi" w:hAnsiTheme="minorHAnsi"/>
          <w:color w:val="2756A2"/>
          <w:spacing w:val="-2"/>
        </w:rPr>
        <w:t xml:space="preserve"> </w:t>
      </w:r>
      <w:r w:rsidRPr="008A30E5">
        <w:rPr>
          <w:rFonts w:asciiTheme="minorHAnsi" w:hAnsiTheme="minorHAnsi"/>
          <w:color w:val="2756A2"/>
          <w:spacing w:val="-1"/>
        </w:rPr>
        <w:t>Consumer</w:t>
      </w:r>
      <w:r w:rsidRPr="008A30E5">
        <w:rPr>
          <w:rFonts w:asciiTheme="minorHAnsi" w:hAnsiTheme="minorHAnsi"/>
          <w:color w:val="2756A2"/>
          <w:spacing w:val="45"/>
        </w:rPr>
        <w:t xml:space="preserve"> </w:t>
      </w:r>
      <w:r w:rsidRPr="008A30E5">
        <w:rPr>
          <w:rFonts w:asciiTheme="minorHAnsi" w:hAnsiTheme="minorHAnsi"/>
          <w:color w:val="2756A2"/>
        </w:rPr>
        <w:t xml:space="preserve">Science </w:t>
      </w:r>
      <w:r w:rsidRPr="008A30E5">
        <w:rPr>
          <w:rFonts w:asciiTheme="minorHAnsi" w:hAnsiTheme="minorHAnsi"/>
          <w:color w:val="2756A2"/>
          <w:spacing w:val="-1"/>
        </w:rPr>
        <w:t>Extension</w:t>
      </w:r>
      <w:r w:rsidRPr="008A30E5">
        <w:rPr>
          <w:rFonts w:asciiTheme="minorHAnsi" w:hAnsiTheme="minorHAnsi"/>
          <w:color w:val="2756A2"/>
        </w:rPr>
        <w:t xml:space="preserve"> </w:t>
      </w:r>
      <w:r w:rsidRPr="008A30E5">
        <w:rPr>
          <w:rFonts w:asciiTheme="minorHAnsi" w:hAnsiTheme="minorHAnsi"/>
          <w:color w:val="2756A2"/>
          <w:spacing w:val="-1"/>
        </w:rPr>
        <w:t>Educators</w:t>
      </w:r>
      <w:r w:rsidRPr="008A30E5">
        <w:rPr>
          <w:rFonts w:asciiTheme="minorHAnsi" w:hAnsiTheme="minorHAnsi"/>
          <w:color w:val="2756A2"/>
        </w:rPr>
        <w:t xml:space="preserve"> </w:t>
      </w:r>
      <w:r w:rsidRPr="008A30E5">
        <w:rPr>
          <w:rFonts w:asciiTheme="minorHAnsi" w:hAnsiTheme="minorHAnsi"/>
          <w:color w:val="2756A2"/>
          <w:spacing w:val="-1"/>
        </w:rPr>
        <w:t>provide</w:t>
      </w:r>
      <w:r w:rsidRPr="008A30E5">
        <w:rPr>
          <w:rFonts w:asciiTheme="minorHAnsi" w:hAnsiTheme="minorHAnsi"/>
          <w:color w:val="2756A2"/>
        </w:rPr>
        <w:t xml:space="preserve"> a</w:t>
      </w:r>
      <w:r w:rsidRPr="008A30E5">
        <w:rPr>
          <w:rFonts w:asciiTheme="minorHAnsi" w:hAnsiTheme="minorHAnsi"/>
          <w:color w:val="2756A2"/>
          <w:spacing w:val="-3"/>
        </w:rPr>
        <w:t xml:space="preserve"> </w:t>
      </w:r>
      <w:r w:rsidRPr="008A30E5">
        <w:rPr>
          <w:rFonts w:asciiTheme="minorHAnsi" w:hAnsiTheme="minorHAnsi"/>
          <w:color w:val="2756A2"/>
          <w:spacing w:val="-1"/>
        </w:rPr>
        <w:t>multitude</w:t>
      </w:r>
      <w:r w:rsidRPr="008A30E5">
        <w:rPr>
          <w:rFonts w:asciiTheme="minorHAnsi" w:hAnsiTheme="minorHAnsi"/>
          <w:color w:val="2756A2"/>
          <w:spacing w:val="-2"/>
        </w:rPr>
        <w:t xml:space="preserve"> </w:t>
      </w:r>
      <w:r w:rsidRPr="008A30E5">
        <w:rPr>
          <w:rFonts w:asciiTheme="minorHAnsi" w:hAnsiTheme="minorHAnsi"/>
          <w:color w:val="2756A2"/>
          <w:spacing w:val="-1"/>
        </w:rPr>
        <w:t>of</w:t>
      </w:r>
      <w:r w:rsidRPr="008A30E5">
        <w:rPr>
          <w:rFonts w:asciiTheme="minorHAnsi" w:hAnsiTheme="minorHAnsi"/>
          <w:color w:val="2756A2"/>
          <w:spacing w:val="1"/>
        </w:rPr>
        <w:t xml:space="preserve"> </w:t>
      </w:r>
      <w:r w:rsidRPr="008A30E5">
        <w:rPr>
          <w:rFonts w:asciiTheme="minorHAnsi" w:hAnsiTheme="minorHAnsi"/>
          <w:color w:val="2756A2"/>
          <w:spacing w:val="-1"/>
        </w:rPr>
        <w:t>educational</w:t>
      </w:r>
      <w:r w:rsidRPr="008A30E5">
        <w:rPr>
          <w:rFonts w:asciiTheme="minorHAnsi" w:hAnsiTheme="minorHAnsi"/>
          <w:color w:val="2756A2"/>
          <w:spacing w:val="45"/>
        </w:rPr>
        <w:t xml:space="preserve"> </w:t>
      </w:r>
      <w:r w:rsidRPr="008A30E5">
        <w:rPr>
          <w:rFonts w:asciiTheme="minorHAnsi" w:hAnsiTheme="minorHAnsi"/>
          <w:color w:val="2756A2"/>
          <w:spacing w:val="-1"/>
        </w:rPr>
        <w:t>opportunities</w:t>
      </w:r>
      <w:r w:rsidRPr="008A30E5">
        <w:rPr>
          <w:rFonts w:asciiTheme="minorHAnsi" w:hAnsiTheme="minorHAnsi"/>
          <w:color w:val="2756A2"/>
          <w:spacing w:val="6"/>
        </w:rPr>
        <w:t xml:space="preserve"> </w:t>
      </w:r>
      <w:r w:rsidRPr="008A30E5">
        <w:rPr>
          <w:rFonts w:asciiTheme="minorHAnsi" w:hAnsiTheme="minorHAnsi"/>
          <w:color w:val="2756A2"/>
          <w:spacing w:val="-1"/>
        </w:rPr>
        <w:t>to</w:t>
      </w:r>
      <w:r w:rsidRPr="008A30E5">
        <w:rPr>
          <w:rFonts w:asciiTheme="minorHAnsi" w:hAnsiTheme="minorHAnsi"/>
          <w:color w:val="2756A2"/>
          <w:spacing w:val="8"/>
        </w:rPr>
        <w:t xml:space="preserve"> </w:t>
      </w:r>
      <w:r w:rsidRPr="008A30E5">
        <w:rPr>
          <w:rFonts w:asciiTheme="minorHAnsi" w:hAnsiTheme="minorHAnsi"/>
          <w:color w:val="2756A2"/>
          <w:spacing w:val="-1"/>
        </w:rPr>
        <w:t>meet</w:t>
      </w:r>
      <w:r w:rsidRPr="008A30E5">
        <w:rPr>
          <w:rFonts w:asciiTheme="minorHAnsi" w:hAnsiTheme="minorHAnsi"/>
          <w:color w:val="2756A2"/>
          <w:spacing w:val="8"/>
        </w:rPr>
        <w:t xml:space="preserve"> </w:t>
      </w:r>
      <w:r w:rsidRPr="008A30E5">
        <w:rPr>
          <w:rFonts w:asciiTheme="minorHAnsi" w:hAnsiTheme="minorHAnsi"/>
          <w:color w:val="2756A2"/>
          <w:spacing w:val="-1"/>
        </w:rPr>
        <w:t>the</w:t>
      </w:r>
      <w:r w:rsidRPr="008A30E5">
        <w:rPr>
          <w:rFonts w:asciiTheme="minorHAnsi" w:hAnsiTheme="minorHAnsi"/>
          <w:color w:val="2756A2"/>
          <w:spacing w:val="4"/>
        </w:rPr>
        <w:t xml:space="preserve"> </w:t>
      </w:r>
      <w:r w:rsidRPr="008A30E5">
        <w:rPr>
          <w:rFonts w:asciiTheme="minorHAnsi" w:hAnsiTheme="minorHAnsi"/>
          <w:color w:val="2756A2"/>
        </w:rPr>
        <w:t>needs</w:t>
      </w:r>
      <w:r w:rsidRPr="008A30E5">
        <w:rPr>
          <w:rFonts w:asciiTheme="minorHAnsi" w:hAnsiTheme="minorHAnsi"/>
          <w:color w:val="2756A2"/>
          <w:spacing w:val="7"/>
        </w:rPr>
        <w:t xml:space="preserve"> </w:t>
      </w:r>
      <w:r w:rsidRPr="008A30E5">
        <w:rPr>
          <w:rFonts w:asciiTheme="minorHAnsi" w:hAnsiTheme="minorHAnsi"/>
          <w:color w:val="2756A2"/>
        </w:rPr>
        <w:t>of</w:t>
      </w:r>
      <w:r w:rsidRPr="008A30E5">
        <w:rPr>
          <w:rFonts w:asciiTheme="minorHAnsi" w:hAnsiTheme="minorHAnsi"/>
          <w:color w:val="2756A2"/>
          <w:spacing w:val="6"/>
        </w:rPr>
        <w:t xml:space="preserve"> </w:t>
      </w:r>
      <w:r w:rsidRPr="008A30E5">
        <w:rPr>
          <w:rFonts w:asciiTheme="minorHAnsi" w:hAnsiTheme="minorHAnsi"/>
          <w:color w:val="2756A2"/>
        </w:rPr>
        <w:t>diverse</w:t>
      </w:r>
      <w:r w:rsidRPr="008A30E5">
        <w:rPr>
          <w:rFonts w:asciiTheme="minorHAnsi" w:hAnsiTheme="minorHAnsi"/>
          <w:color w:val="2756A2"/>
          <w:spacing w:val="7"/>
        </w:rPr>
        <w:t xml:space="preserve"> </w:t>
      </w:r>
      <w:r w:rsidRPr="008A30E5">
        <w:rPr>
          <w:rFonts w:asciiTheme="minorHAnsi" w:hAnsiTheme="minorHAnsi"/>
          <w:color w:val="2756A2"/>
          <w:spacing w:val="-1"/>
        </w:rPr>
        <w:t>audiences.</w:t>
      </w:r>
    </w:p>
    <w:p w:rsidR="004B577B" w:rsidRPr="008A30E5" w:rsidRDefault="004B577B">
      <w:pPr>
        <w:spacing w:before="34"/>
        <w:ind w:left="1257" w:right="1277"/>
        <w:jc w:val="center"/>
        <w:rPr>
          <w:b/>
          <w:color w:val="2756A2"/>
          <w:spacing w:val="-1"/>
          <w:sz w:val="48"/>
        </w:rPr>
      </w:pPr>
    </w:p>
    <w:p w:rsidR="005E716E" w:rsidRPr="008A30E5" w:rsidRDefault="00F77311">
      <w:pPr>
        <w:spacing w:before="34"/>
        <w:ind w:left="1257" w:right="1277"/>
        <w:jc w:val="center"/>
        <w:rPr>
          <w:rFonts w:eastAsia="Arial Narrow" w:cs="Arial Narrow"/>
          <w:sz w:val="48"/>
          <w:szCs w:val="48"/>
        </w:rPr>
      </w:pPr>
      <w:r w:rsidRPr="008A30E5">
        <w:rPr>
          <w:b/>
          <w:color w:val="2756A2"/>
          <w:spacing w:val="-1"/>
          <w:sz w:val="48"/>
        </w:rPr>
        <w:t>Improving Children’s Lives</w:t>
      </w:r>
    </w:p>
    <w:p w:rsidR="0038486A" w:rsidRPr="008A30E5" w:rsidRDefault="0038486A">
      <w:pPr>
        <w:spacing w:before="9" w:line="240" w:lineRule="exact"/>
        <w:rPr>
          <w:sz w:val="24"/>
          <w:szCs w:val="24"/>
        </w:rPr>
      </w:pPr>
    </w:p>
    <w:p w:rsidR="008A30E5" w:rsidRDefault="008A30E5">
      <w:pPr>
        <w:spacing w:before="9" w:line="240" w:lineRule="exact"/>
        <w:sectPr w:rsidR="008A30E5" w:rsidSect="008A30E5">
          <w:headerReference w:type="default" r:id="rId10"/>
          <w:footerReference w:type="default" r:id="rId11"/>
          <w:pgSz w:w="12240" w:h="15840"/>
          <w:pgMar w:top="1180" w:right="660" w:bottom="280" w:left="660" w:header="720" w:footer="720" w:gutter="0"/>
          <w:cols w:space="720"/>
          <w:titlePg/>
          <w:docGrid w:linePitch="299"/>
        </w:sectPr>
      </w:pPr>
    </w:p>
    <w:p w:rsidR="005E716E" w:rsidRPr="008A30E5" w:rsidRDefault="00423111">
      <w:pPr>
        <w:spacing w:before="9" w:line="240" w:lineRule="exact"/>
      </w:pPr>
      <w:r w:rsidRPr="008A30E5">
        <w:lastRenderedPageBreak/>
        <w:t>Ex</w:t>
      </w:r>
      <w:r w:rsidR="0038486A" w:rsidRPr="008A30E5">
        <w:t xml:space="preserve">tension </w:t>
      </w:r>
      <w:r w:rsidR="00C74AA2" w:rsidRPr="008A30E5">
        <w:t xml:space="preserve">delivers </w:t>
      </w:r>
      <w:r w:rsidRPr="008A30E5">
        <w:t xml:space="preserve">a multitude of </w:t>
      </w:r>
      <w:r w:rsidR="0038486A" w:rsidRPr="008A30E5">
        <w:t xml:space="preserve">educational programs </w:t>
      </w:r>
      <w:r w:rsidRPr="008A30E5">
        <w:t xml:space="preserve">aimed at helping parents </w:t>
      </w:r>
      <w:r w:rsidR="00C63F2E" w:rsidRPr="008A30E5">
        <w:t xml:space="preserve">do their best to </w:t>
      </w:r>
      <w:r w:rsidR="00C74AA2" w:rsidRPr="008A30E5">
        <w:t>enable their children to live h</w:t>
      </w:r>
      <w:r w:rsidRPr="008A30E5">
        <w:t>ealthy, productive and successful lives.  FCS educators also work closely with childcare providers, school teachers</w:t>
      </w:r>
      <w:r w:rsidR="001A5426">
        <w:t>,</w:t>
      </w:r>
      <w:r w:rsidRPr="008A30E5">
        <w:t xml:space="preserve"> and other</w:t>
      </w:r>
      <w:r w:rsidR="00C74AA2" w:rsidRPr="008A30E5">
        <w:t xml:space="preserve"> </w:t>
      </w:r>
      <w:r w:rsidRPr="008A30E5">
        <w:t>adult youth workers and organization</w:t>
      </w:r>
      <w:r w:rsidR="00C74AA2" w:rsidRPr="008A30E5">
        <w:t xml:space="preserve">s </w:t>
      </w:r>
      <w:r w:rsidRPr="008A30E5">
        <w:t>intent on providing safe</w:t>
      </w:r>
      <w:r w:rsidR="00C74AA2" w:rsidRPr="008A30E5">
        <w:t xml:space="preserve"> and</w:t>
      </w:r>
      <w:r w:rsidRPr="008A30E5">
        <w:t xml:space="preserve"> supportive learning environments for the children in their c</w:t>
      </w:r>
      <w:r w:rsidR="00C63F2E" w:rsidRPr="008A30E5">
        <w:t>are</w:t>
      </w:r>
      <w:r w:rsidRPr="008A30E5">
        <w:t xml:space="preserve">. </w:t>
      </w:r>
      <w:r w:rsidR="0038486A" w:rsidRPr="008A30E5">
        <w:t xml:space="preserve"> </w:t>
      </w:r>
    </w:p>
    <w:p w:rsidR="00C63F2E" w:rsidRPr="008A30E5" w:rsidRDefault="00C63F2E">
      <w:pPr>
        <w:spacing w:before="9" w:line="240" w:lineRule="exact"/>
      </w:pPr>
    </w:p>
    <w:p w:rsidR="00C63F2E" w:rsidRPr="00037FAB" w:rsidRDefault="00C63F2E">
      <w:pPr>
        <w:spacing w:before="9" w:line="240" w:lineRule="exact"/>
        <w:rPr>
          <w:b/>
          <w:sz w:val="24"/>
        </w:rPr>
      </w:pPr>
      <w:r w:rsidRPr="00037FAB">
        <w:rPr>
          <w:b/>
          <w:sz w:val="24"/>
        </w:rPr>
        <w:t>Early Child Care</w:t>
      </w:r>
      <w:r w:rsidR="00C74AA2" w:rsidRPr="00037FAB">
        <w:rPr>
          <w:b/>
          <w:sz w:val="24"/>
        </w:rPr>
        <w:t xml:space="preserve"> </w:t>
      </w:r>
      <w:r w:rsidRPr="00037FAB">
        <w:rPr>
          <w:b/>
          <w:sz w:val="24"/>
        </w:rPr>
        <w:t>and Safety</w:t>
      </w:r>
    </w:p>
    <w:p w:rsidR="00C63F2E" w:rsidRPr="008A30E5" w:rsidRDefault="00C63F2E">
      <w:pPr>
        <w:spacing w:before="9" w:line="240" w:lineRule="exact"/>
        <w:rPr>
          <w:b/>
        </w:rPr>
      </w:pPr>
    </w:p>
    <w:p w:rsidR="00C63F2E" w:rsidRPr="008A30E5" w:rsidRDefault="00C63F2E" w:rsidP="00C63F2E">
      <w:r w:rsidRPr="008A30E5">
        <w:t xml:space="preserve">In </w:t>
      </w:r>
      <w:r w:rsidRPr="008A30E5">
        <w:rPr>
          <w:b/>
        </w:rPr>
        <w:t>Arizona</w:t>
      </w:r>
      <w:r w:rsidR="00612F39">
        <w:t>, seven</w:t>
      </w:r>
      <w:r w:rsidRPr="008A30E5">
        <w:t xml:space="preserve"> different programs, reaching over 28,000 people are offering classes with a variety of subjects, all aimed at improving the lives of children. </w:t>
      </w:r>
      <w:r w:rsidRPr="008A30E5">
        <w:rPr>
          <w:i/>
        </w:rPr>
        <w:t>First Smiles</w:t>
      </w:r>
      <w:r w:rsidRPr="008A30E5">
        <w:t xml:space="preserve"> is a program that screens children for tooth decay and offers training to professionals about the seriousness of tooth decay. </w:t>
      </w:r>
      <w:r w:rsidRPr="008A30E5">
        <w:rPr>
          <w:i/>
        </w:rPr>
        <w:t>Brain Builders for Life</w:t>
      </w:r>
      <w:r w:rsidRPr="008A30E5">
        <w:t xml:space="preserve"> is another program for childcare providers that include developmental and sensory screening, dental screening, and early brain development training for professionals.</w:t>
      </w:r>
    </w:p>
    <w:p w:rsidR="00C63F2E" w:rsidRPr="008A30E5" w:rsidRDefault="00C63F2E">
      <w:pPr>
        <w:spacing w:before="9" w:line="240" w:lineRule="exact"/>
        <w:rPr>
          <w:b/>
        </w:rPr>
      </w:pPr>
    </w:p>
    <w:p w:rsidR="00C63F2E" w:rsidRPr="008A30E5" w:rsidRDefault="00F77311" w:rsidP="00C63F2E">
      <w:r w:rsidRPr="008A30E5">
        <w:t xml:space="preserve">In </w:t>
      </w:r>
      <w:r w:rsidRPr="008A30E5">
        <w:rPr>
          <w:b/>
        </w:rPr>
        <w:t>West Virginia</w:t>
      </w:r>
      <w:r w:rsidR="00612F39">
        <w:rPr>
          <w:b/>
        </w:rPr>
        <w:t>,</w:t>
      </w:r>
      <w:r w:rsidRPr="008A30E5">
        <w:t xml:space="preserve"> 128 programs focused on child abuse prevention for parents and childcare providers. Additionally, 4-H day camps were provided for the children</w:t>
      </w:r>
      <w:r w:rsidR="001A5426">
        <w:t>.</w:t>
      </w:r>
      <w:r w:rsidR="00C63F2E" w:rsidRPr="008A30E5">
        <w:t xml:space="preserve"> </w:t>
      </w:r>
      <w:r w:rsidR="001A5426" w:rsidRPr="00B36E0E">
        <w:rPr>
          <w:b/>
        </w:rPr>
        <w:t>Delaware</w:t>
      </w:r>
      <w:r w:rsidR="001A5426">
        <w:t xml:space="preserve"> </w:t>
      </w:r>
      <w:r w:rsidR="00C63F2E" w:rsidRPr="008A30E5">
        <w:t>FCS educators partner</w:t>
      </w:r>
      <w:r w:rsidR="001A5426">
        <w:t>ed</w:t>
      </w:r>
      <w:r w:rsidR="00C63F2E" w:rsidRPr="008A30E5">
        <w:t xml:space="preserve"> with Prevent Child Abuse Delaware to present “Bullying</w:t>
      </w:r>
      <w:r w:rsidR="00B36E0E">
        <w:t>--W</w:t>
      </w:r>
      <w:r w:rsidR="00C63F2E" w:rsidRPr="008A30E5">
        <w:t>hat to Do” and “</w:t>
      </w:r>
      <w:proofErr w:type="spellStart"/>
      <w:r w:rsidR="00C63F2E" w:rsidRPr="008A30E5">
        <w:t>Tigger</w:t>
      </w:r>
      <w:proofErr w:type="spellEnd"/>
      <w:r w:rsidR="00C63F2E" w:rsidRPr="008A30E5">
        <w:t>, Pooh or Piglet: Understanding Temperament.” Other childcare providers learn</w:t>
      </w:r>
      <w:r w:rsidR="001A5426">
        <w:t>ed</w:t>
      </w:r>
      <w:r w:rsidR="00C63F2E" w:rsidRPr="008A30E5">
        <w:t xml:space="preserve"> how to create eco-green-friendly early childcare setting</w:t>
      </w:r>
      <w:r w:rsidR="001A5426">
        <w:t>s</w:t>
      </w:r>
      <w:r w:rsidR="00C63F2E" w:rsidRPr="008A30E5">
        <w:t>.</w:t>
      </w:r>
    </w:p>
    <w:p w:rsidR="00C63F2E" w:rsidRPr="008A30E5" w:rsidRDefault="00C63F2E" w:rsidP="00F77311"/>
    <w:tbl>
      <w:tblPr>
        <w:tblpPr w:leftFromText="180" w:rightFromText="180" w:vertAnchor="text" w:horzAnchor="margin" w:tblpY="1691"/>
        <w:tblW w:w="10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6"/>
        <w:gridCol w:w="3075"/>
        <w:gridCol w:w="3980"/>
      </w:tblGrid>
      <w:tr w:rsidR="00612F39" w:rsidTr="00612F39">
        <w:trPr>
          <w:trHeight w:hRule="exact" w:val="434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2756A2"/>
          </w:tcPr>
          <w:p w:rsidR="00612F39" w:rsidRDefault="00612F39" w:rsidP="00612F39">
            <w:pPr>
              <w:pStyle w:val="TableParagraph"/>
              <w:spacing w:before="145"/>
              <w:ind w:left="122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NEAFCS</w:t>
            </w:r>
            <w:r>
              <w:rPr>
                <w:rFonts w:ascii="Arial Narrow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National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Office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2756A2"/>
          </w:tcPr>
          <w:p w:rsidR="00612F39" w:rsidRDefault="00612F39" w:rsidP="00612F39">
            <w:pPr>
              <w:pStyle w:val="TableParagraph"/>
              <w:spacing w:before="145"/>
              <w:ind w:left="36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20423</w:t>
            </w:r>
            <w:r>
              <w:rPr>
                <w:rFonts w:ascii="Arial Narrow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State</w:t>
            </w:r>
            <w:r>
              <w:rPr>
                <w:rFonts w:ascii="Arial Narrow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Road</w:t>
            </w:r>
            <w:r>
              <w:rPr>
                <w:rFonts w:ascii="Arial Narrow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7,</w:t>
            </w:r>
            <w:r>
              <w:rPr>
                <w:rFonts w:ascii="Arial Narrow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Suite</w:t>
            </w:r>
            <w:r>
              <w:rPr>
                <w:rFonts w:ascii="Arial Narrow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F6-491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2756A2"/>
          </w:tcPr>
          <w:p w:rsidR="00612F39" w:rsidRDefault="00612F39" w:rsidP="00612F39">
            <w:pPr>
              <w:pStyle w:val="TableParagraph"/>
              <w:spacing w:before="145"/>
              <w:ind w:left="1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Boca</w:t>
            </w:r>
            <w:r>
              <w:rPr>
                <w:rFonts w:ascii="Arial Narrow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Raton,</w:t>
            </w:r>
            <w:r>
              <w:rPr>
                <w:rFonts w:ascii="Arial Narrow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FL</w:t>
            </w:r>
            <w:r>
              <w:rPr>
                <w:rFonts w:ascii="Arial Narrow"/>
                <w:b/>
                <w:color w:val="FFFFFF"/>
                <w:spacing w:val="37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33498</w:t>
            </w:r>
          </w:p>
        </w:tc>
      </w:tr>
      <w:tr w:rsidR="00612F39" w:rsidTr="00612F39">
        <w:trPr>
          <w:trHeight w:hRule="exact" w:val="416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2756A2"/>
          </w:tcPr>
          <w:p w:rsidR="00612F39" w:rsidRDefault="00612F39" w:rsidP="00612F39">
            <w:pPr>
              <w:pStyle w:val="TableParagraph"/>
              <w:spacing w:before="26"/>
              <w:ind w:left="226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(561)</w:t>
            </w:r>
            <w:r>
              <w:rPr>
                <w:rFonts w:ascii="Arial Narrow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477-8100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2756A2"/>
          </w:tcPr>
          <w:p w:rsidR="00612F39" w:rsidRDefault="00612F39" w:rsidP="00612F39">
            <w:pPr>
              <w:pStyle w:val="TableParagraph"/>
              <w:spacing w:before="26"/>
              <w:ind w:left="67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FAX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(561)</w:t>
            </w:r>
            <w:r>
              <w:rPr>
                <w:rFonts w:ascii="Arial Narrow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910-0896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2756A2"/>
          </w:tcPr>
          <w:p w:rsidR="00612F39" w:rsidRDefault="00FD07E1" w:rsidP="00612F39">
            <w:pPr>
              <w:pStyle w:val="TableParagraph"/>
              <w:spacing w:before="26"/>
              <w:ind w:left="481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12">
              <w:r w:rsidR="00612F39">
                <w:rPr>
                  <w:rFonts w:ascii="Arial Narrow"/>
                  <w:b/>
                  <w:color w:val="FFFFFF"/>
                  <w:spacing w:val="-1"/>
                  <w:sz w:val="20"/>
                </w:rPr>
                <w:t>www.neafcs.org</w:t>
              </w:r>
            </w:hyperlink>
          </w:p>
        </w:tc>
      </w:tr>
    </w:tbl>
    <w:p w:rsidR="00612F39" w:rsidRDefault="008A30E5" w:rsidP="00C63F2E">
      <w:r>
        <w:rPr>
          <w:noProof/>
        </w:rPr>
        <w:drawing>
          <wp:anchor distT="0" distB="0" distL="114300" distR="114300" simplePos="0" relativeHeight="251663360" behindDoc="0" locked="0" layoutInCell="1" allowOverlap="1" wp14:anchorId="62E93A20" wp14:editId="2867DAFB">
            <wp:simplePos x="0" y="0"/>
            <wp:positionH relativeFrom="column">
              <wp:posOffset>1709420</wp:posOffset>
            </wp:positionH>
            <wp:positionV relativeFrom="paragraph">
              <wp:posOffset>594360</wp:posOffset>
            </wp:positionV>
            <wp:extent cx="5139055" cy="43815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F2E" w:rsidRPr="008A30E5">
        <w:t xml:space="preserve">In </w:t>
      </w:r>
      <w:r w:rsidR="00C63F2E" w:rsidRPr="008A30E5">
        <w:rPr>
          <w:b/>
        </w:rPr>
        <w:t>Mississippi</w:t>
      </w:r>
      <w:r w:rsidR="00612F39">
        <w:rPr>
          <w:b/>
        </w:rPr>
        <w:t>,</w:t>
      </w:r>
      <w:r w:rsidR="00C63F2E" w:rsidRPr="008A30E5">
        <w:rPr>
          <w:b/>
        </w:rPr>
        <w:t xml:space="preserve"> </w:t>
      </w:r>
      <w:r w:rsidR="00C63F2E" w:rsidRPr="008A30E5">
        <w:t xml:space="preserve">the Child Care Resource and Referral Network has been presenting trainings to 140 early childcare center directors. The trainings include the </w:t>
      </w:r>
    </w:p>
    <w:p w:rsidR="00612F39" w:rsidRDefault="00612F39" w:rsidP="00C63F2E"/>
    <w:p w:rsidR="00612F39" w:rsidRDefault="00612F39" w:rsidP="00C63F2E"/>
    <w:p w:rsidR="00612F39" w:rsidRDefault="00612F39" w:rsidP="00C63F2E"/>
    <w:p w:rsidR="00612F39" w:rsidRDefault="00612F39" w:rsidP="00C63F2E"/>
    <w:p w:rsidR="00C63F2E" w:rsidRDefault="00C63F2E" w:rsidP="00C63F2E">
      <w:proofErr w:type="gramStart"/>
      <w:r w:rsidRPr="008A30E5">
        <w:lastRenderedPageBreak/>
        <w:t>latest</w:t>
      </w:r>
      <w:proofErr w:type="gramEnd"/>
      <w:r w:rsidRPr="008A30E5">
        <w:t xml:space="preserve"> concepts in early childcare curriculum and day-to-day operations of their centers.</w:t>
      </w:r>
    </w:p>
    <w:p w:rsidR="00612F39" w:rsidRPr="008A30E5" w:rsidRDefault="00612F39" w:rsidP="00C63F2E"/>
    <w:p w:rsidR="00C63F2E" w:rsidRPr="008A30E5" w:rsidRDefault="00C74AA2" w:rsidP="00C63F2E">
      <w:r w:rsidRPr="008A30E5">
        <w:t>T</w:t>
      </w:r>
      <w:r w:rsidR="00612F39">
        <w:t xml:space="preserve">rainings offered to </w:t>
      </w:r>
      <w:r w:rsidRPr="008A30E5">
        <w:rPr>
          <w:b/>
        </w:rPr>
        <w:t>Kansas</w:t>
      </w:r>
      <w:r w:rsidRPr="008A30E5">
        <w:t xml:space="preserve"> </w:t>
      </w:r>
      <w:r w:rsidR="00612F39">
        <w:t xml:space="preserve">childcare providers </w:t>
      </w:r>
      <w:r w:rsidR="00C63F2E" w:rsidRPr="008A30E5">
        <w:t>focus</w:t>
      </w:r>
      <w:r w:rsidR="001A5426">
        <w:t>ed</w:t>
      </w:r>
      <w:r w:rsidR="00C63F2E" w:rsidRPr="008A30E5">
        <w:t xml:space="preserve"> on physical activity, nutrition education, child abuse and neglect, as well as social and emotional development. “Day-camp” opportunities </w:t>
      </w:r>
      <w:r w:rsidR="001A5426">
        <w:t>were</w:t>
      </w:r>
      <w:r w:rsidR="00C63F2E" w:rsidRPr="008A30E5">
        <w:t xml:space="preserve"> also offered for children and parents to strengthen the family unit and its support systems. Results show</w:t>
      </w:r>
      <w:r w:rsidR="001A5426">
        <w:t>ed</w:t>
      </w:r>
      <w:r w:rsidR="00C63F2E" w:rsidRPr="008A30E5">
        <w:t xml:space="preserve"> that childcare center directors now feel more confident in their ability to discuss family related issues.</w:t>
      </w:r>
    </w:p>
    <w:p w:rsidR="008126FF" w:rsidRDefault="008126FF" w:rsidP="008126FF">
      <w:pPr>
        <w:jc w:val="center"/>
        <w:rPr>
          <w:b/>
          <w:color w:val="17365D" w:themeColor="text2" w:themeShade="BF"/>
          <w:sz w:val="24"/>
          <w:szCs w:val="24"/>
        </w:rPr>
      </w:pPr>
    </w:p>
    <w:p w:rsidR="008126FF" w:rsidRPr="008A30E5" w:rsidRDefault="008126FF" w:rsidP="008126FF">
      <w:pPr>
        <w:jc w:val="center"/>
        <w:rPr>
          <w:b/>
          <w:color w:val="17365D" w:themeColor="text2" w:themeShade="BF"/>
          <w:sz w:val="24"/>
          <w:szCs w:val="24"/>
        </w:rPr>
      </w:pPr>
      <w:r w:rsidRPr="008A30E5">
        <w:rPr>
          <w:b/>
          <w:color w:val="17365D" w:themeColor="text2" w:themeShade="BF"/>
          <w:sz w:val="24"/>
          <w:szCs w:val="24"/>
        </w:rPr>
        <w:t>“I had no idea that my children were affected by the way I talk with and about my former spouse. Using ‘when-then’ has made a difference in our home.” – Ohio Parent</w:t>
      </w:r>
    </w:p>
    <w:p w:rsidR="00C63F2E" w:rsidRPr="008A30E5" w:rsidRDefault="00C63F2E" w:rsidP="00C63F2E"/>
    <w:p w:rsidR="00C63F2E" w:rsidRPr="008A30E5" w:rsidRDefault="00C63F2E" w:rsidP="00C63F2E">
      <w:r w:rsidRPr="008A30E5">
        <w:t xml:space="preserve">In </w:t>
      </w:r>
      <w:r w:rsidRPr="008A30E5">
        <w:rPr>
          <w:b/>
        </w:rPr>
        <w:t>Maine</w:t>
      </w:r>
      <w:r w:rsidR="0039038A" w:rsidRPr="008A30E5">
        <w:rPr>
          <w:b/>
        </w:rPr>
        <w:t xml:space="preserve">, </w:t>
      </w:r>
      <w:r w:rsidR="0039038A" w:rsidRPr="008A30E5">
        <w:t>FCS educators presented</w:t>
      </w:r>
      <w:r w:rsidR="0039038A" w:rsidRPr="008A30E5">
        <w:rPr>
          <w:b/>
        </w:rPr>
        <w:t xml:space="preserve"> </w:t>
      </w:r>
      <w:r w:rsidRPr="008A30E5">
        <w:t xml:space="preserve">“Stress and Children” </w:t>
      </w:r>
      <w:r w:rsidR="0039038A" w:rsidRPr="008A30E5">
        <w:t xml:space="preserve">programs </w:t>
      </w:r>
      <w:r w:rsidRPr="008A30E5">
        <w:t xml:space="preserve">to </w:t>
      </w:r>
      <w:r w:rsidR="00C74AA2" w:rsidRPr="008A30E5">
        <w:t xml:space="preserve">50 </w:t>
      </w:r>
      <w:r w:rsidRPr="008A30E5">
        <w:t>early childcare providers to understand signs or stress in themselves and in children, as well as strategies for dealing with stress.</w:t>
      </w:r>
    </w:p>
    <w:p w:rsidR="00C63F2E" w:rsidRPr="008A30E5" w:rsidRDefault="00C63F2E" w:rsidP="00C63F2E"/>
    <w:p w:rsidR="00C63F2E" w:rsidRPr="00037FAB" w:rsidRDefault="00C63F2E" w:rsidP="00F77311">
      <w:pPr>
        <w:rPr>
          <w:b/>
          <w:sz w:val="24"/>
        </w:rPr>
      </w:pPr>
      <w:r w:rsidRPr="00037FAB">
        <w:rPr>
          <w:b/>
          <w:sz w:val="24"/>
        </w:rPr>
        <w:t>Parenting Education</w:t>
      </w:r>
    </w:p>
    <w:p w:rsidR="00F77311" w:rsidRPr="008A30E5" w:rsidRDefault="00F77311" w:rsidP="00F77311"/>
    <w:p w:rsidR="00C63F2E" w:rsidRPr="008A30E5" w:rsidRDefault="00F77311" w:rsidP="00C63F2E">
      <w:r w:rsidRPr="008A30E5">
        <w:t xml:space="preserve">In </w:t>
      </w:r>
      <w:r w:rsidRPr="008A30E5">
        <w:rPr>
          <w:b/>
        </w:rPr>
        <w:t>Utah</w:t>
      </w:r>
      <w:r w:rsidR="00612F39">
        <w:rPr>
          <w:b/>
        </w:rPr>
        <w:t>,</w:t>
      </w:r>
      <w:r w:rsidRPr="008A30E5">
        <w:t xml:space="preserve"> 1</w:t>
      </w:r>
      <w:r w:rsidR="00612F39">
        <w:t>,</w:t>
      </w:r>
      <w:r w:rsidRPr="008A30E5">
        <w:t xml:space="preserve">000 programs with over 42,000 participants were focused on </w:t>
      </w:r>
      <w:r w:rsidR="00B36E0E">
        <w:t>i</w:t>
      </w:r>
      <w:r w:rsidRPr="008A30E5">
        <w:t xml:space="preserve">mproving </w:t>
      </w:r>
      <w:r w:rsidR="00B36E0E">
        <w:t>c</w:t>
      </w:r>
      <w:r w:rsidRPr="008A30E5">
        <w:t xml:space="preserve">hildren’s </w:t>
      </w:r>
      <w:r w:rsidR="00B36E0E">
        <w:t>l</w:t>
      </w:r>
      <w:r w:rsidRPr="008A30E5">
        <w:t xml:space="preserve">ives. </w:t>
      </w:r>
      <w:r w:rsidRPr="00B36E0E">
        <w:t>Love and</w:t>
      </w:r>
      <w:r w:rsidRPr="008A30E5">
        <w:t xml:space="preserve"> </w:t>
      </w:r>
      <w:r w:rsidRPr="00B36E0E">
        <w:rPr>
          <w:i/>
        </w:rPr>
        <w:t>Love Step-Family</w:t>
      </w:r>
      <w:r w:rsidRPr="008A30E5">
        <w:t xml:space="preserve"> classes helped build relationships and foster health family values for both parents and children.</w:t>
      </w:r>
      <w:r w:rsidR="00C63F2E" w:rsidRPr="008A30E5">
        <w:t xml:space="preserve"> In </w:t>
      </w:r>
      <w:r w:rsidR="00C63F2E" w:rsidRPr="008A30E5">
        <w:rPr>
          <w:b/>
        </w:rPr>
        <w:t>Pennsylvania</w:t>
      </w:r>
      <w:r w:rsidR="00B36E0E">
        <w:rPr>
          <w:b/>
        </w:rPr>
        <w:t>,</w:t>
      </w:r>
      <w:r w:rsidR="00C63F2E" w:rsidRPr="008A30E5">
        <w:t xml:space="preserve"> online and direct programs have reached over 750,000 people using </w:t>
      </w:r>
      <w:r w:rsidR="00C63F2E" w:rsidRPr="001A5426">
        <w:rPr>
          <w:i/>
        </w:rPr>
        <w:t>Better Kid’s</w:t>
      </w:r>
      <w:r w:rsidR="00C63F2E" w:rsidRPr="008A30E5">
        <w:t xml:space="preserve"> </w:t>
      </w:r>
      <w:r w:rsidR="00C63F2E" w:rsidRPr="001A5426">
        <w:rPr>
          <w:i/>
        </w:rPr>
        <w:t>Care on Demand</w:t>
      </w:r>
      <w:r w:rsidR="00C63F2E" w:rsidRPr="008A30E5">
        <w:t>, as well as community based workshops.</w:t>
      </w:r>
    </w:p>
    <w:p w:rsidR="00077D3F" w:rsidRPr="008A30E5" w:rsidRDefault="00077D3F" w:rsidP="00C63F2E"/>
    <w:p w:rsidR="0039038A" w:rsidRPr="008A30E5" w:rsidRDefault="0039038A" w:rsidP="00C63F2E"/>
    <w:p w:rsidR="0039038A" w:rsidRPr="008A30E5" w:rsidRDefault="0039038A" w:rsidP="0039038A">
      <w:r w:rsidRPr="008A30E5">
        <w:lastRenderedPageBreak/>
        <w:t xml:space="preserve">In </w:t>
      </w:r>
      <w:r w:rsidRPr="008A30E5">
        <w:rPr>
          <w:b/>
        </w:rPr>
        <w:t>Nebraska</w:t>
      </w:r>
      <w:r w:rsidR="00B36E0E">
        <w:rPr>
          <w:b/>
        </w:rPr>
        <w:t>,</w:t>
      </w:r>
      <w:r w:rsidRPr="008A30E5">
        <w:t xml:space="preserve"> direct and online resources are guiding healthy families. Resources such as “U R Parent App” and </w:t>
      </w:r>
      <w:r w:rsidR="001A5426">
        <w:t>“</w:t>
      </w:r>
      <w:r w:rsidRPr="008A30E5">
        <w:t>Co-Parenting for Successful Kids</w:t>
      </w:r>
      <w:r w:rsidR="001A5426">
        <w:t>”</w:t>
      </w:r>
      <w:r w:rsidRPr="008A30E5">
        <w:t xml:space="preserve"> classes are being utilized. There has been an increase in understanding about how </w:t>
      </w:r>
      <w:r w:rsidR="001A5426">
        <w:t xml:space="preserve">a </w:t>
      </w:r>
      <w:r w:rsidRPr="008A30E5">
        <w:t>parent’s actions influence children’s adjustments to divorce.</w:t>
      </w:r>
    </w:p>
    <w:p w:rsidR="00C63F2E" w:rsidRPr="008A30E5" w:rsidRDefault="00C63F2E" w:rsidP="00C63F2E"/>
    <w:p w:rsidR="00F77311" w:rsidRPr="008A30E5" w:rsidRDefault="00FD07E1" w:rsidP="00F77311">
      <w:r w:rsidRPr="00FD07E1">
        <w:t xml:space="preserve">In </w:t>
      </w:r>
      <w:r w:rsidR="00C63F2E" w:rsidRPr="008A30E5">
        <w:rPr>
          <w:b/>
        </w:rPr>
        <w:t>Ohio</w:t>
      </w:r>
      <w:r>
        <w:rPr>
          <w:b/>
        </w:rPr>
        <w:t xml:space="preserve">,  </w:t>
      </w:r>
      <w:r w:rsidRPr="00FD07E1">
        <w:t>FCS programs help</w:t>
      </w:r>
      <w:r w:rsidR="00C63F2E" w:rsidRPr="008A30E5">
        <w:t xml:space="preserve"> parents learn</w:t>
      </w:r>
      <w:bookmarkStart w:id="0" w:name="_GoBack"/>
      <w:bookmarkEnd w:id="0"/>
      <w:r w:rsidR="00C63F2E" w:rsidRPr="008A30E5">
        <w:t xml:space="preserve"> how to communicate peacefully within the family. </w:t>
      </w:r>
      <w:r w:rsidR="00F77311" w:rsidRPr="008A30E5">
        <w:t xml:space="preserve">In </w:t>
      </w:r>
      <w:r w:rsidR="00F77311" w:rsidRPr="008A30E5">
        <w:rPr>
          <w:b/>
        </w:rPr>
        <w:t>Vermont</w:t>
      </w:r>
      <w:r w:rsidR="0039038A" w:rsidRPr="008A30E5">
        <w:rPr>
          <w:b/>
        </w:rPr>
        <w:t>,</w:t>
      </w:r>
      <w:r w:rsidR="00F77311" w:rsidRPr="008A30E5">
        <w:t xml:space="preserve"> the Vermont Kin as Parents or VKAP </w:t>
      </w:r>
      <w:r w:rsidR="00C74AA2" w:rsidRPr="008A30E5">
        <w:t>“</w:t>
      </w:r>
      <w:r w:rsidR="00F77311" w:rsidRPr="008A30E5">
        <w:t>Across the Fence</w:t>
      </w:r>
      <w:r w:rsidR="00C74AA2" w:rsidRPr="008A30E5">
        <w:t>”</w:t>
      </w:r>
      <w:r w:rsidR="001A5426">
        <w:t xml:space="preserve"> program</w:t>
      </w:r>
      <w:r w:rsidR="00C74AA2" w:rsidRPr="008A30E5">
        <w:t xml:space="preserve"> </w:t>
      </w:r>
      <w:r w:rsidR="00F77311" w:rsidRPr="008A30E5">
        <w:t>- a daily farm and home television show</w:t>
      </w:r>
      <w:r w:rsidR="00B36E0E">
        <w:t xml:space="preserve"> - </w:t>
      </w:r>
      <w:r w:rsidR="001A5426">
        <w:t xml:space="preserve">attracted </w:t>
      </w:r>
      <w:r w:rsidR="00C74AA2" w:rsidRPr="008A30E5">
        <w:t>52,000 viewers</w:t>
      </w:r>
      <w:r w:rsidR="00F77311" w:rsidRPr="008A30E5">
        <w:t>.</w:t>
      </w:r>
    </w:p>
    <w:p w:rsidR="00C63F2E" w:rsidRPr="008A30E5" w:rsidRDefault="00C63F2E" w:rsidP="00F77311"/>
    <w:p w:rsidR="00C63F2E" w:rsidRPr="008A30E5" w:rsidRDefault="00C63F2E" w:rsidP="00C63F2E">
      <w:r w:rsidRPr="008A30E5">
        <w:t xml:space="preserve">In </w:t>
      </w:r>
      <w:r w:rsidRPr="008A30E5">
        <w:rPr>
          <w:b/>
        </w:rPr>
        <w:t>New York</w:t>
      </w:r>
      <w:r w:rsidR="001A5426">
        <w:rPr>
          <w:b/>
        </w:rPr>
        <w:t xml:space="preserve">, </w:t>
      </w:r>
      <w:r w:rsidR="00C74AA2" w:rsidRPr="008A30E5">
        <w:t xml:space="preserve">50 </w:t>
      </w:r>
      <w:r w:rsidRPr="008A30E5">
        <w:t>parenting workshops</w:t>
      </w:r>
      <w:r w:rsidR="00C74AA2" w:rsidRPr="008A30E5">
        <w:t xml:space="preserve"> reached over 735 parents, helping them </w:t>
      </w:r>
      <w:r w:rsidRPr="008A30E5">
        <w:t>incorporate fundamental skills and techniques for successful parenting. Nine out of ten pre/post-test indicators improved significantly- increasing patience, confident rule-making, explanation for rules,</w:t>
      </w:r>
      <w:r w:rsidR="00C74AA2" w:rsidRPr="008A30E5">
        <w:t xml:space="preserve"> and </w:t>
      </w:r>
      <w:r w:rsidRPr="008A30E5">
        <w:t xml:space="preserve">time reading with </w:t>
      </w:r>
      <w:r w:rsidR="00C74AA2" w:rsidRPr="008A30E5">
        <w:t xml:space="preserve">their </w:t>
      </w:r>
      <w:r w:rsidRPr="008A30E5">
        <w:t>child.</w:t>
      </w:r>
    </w:p>
    <w:p w:rsidR="00C63F2E" w:rsidRPr="008A30E5" w:rsidRDefault="00C63F2E" w:rsidP="00F77311"/>
    <w:p w:rsidR="009547D3" w:rsidRDefault="009547D3" w:rsidP="00F77311">
      <w:pPr>
        <w:rPr>
          <w:b/>
        </w:rPr>
      </w:pPr>
    </w:p>
    <w:p w:rsidR="009547D3" w:rsidRDefault="00BC5094" w:rsidP="00F77311">
      <w:pPr>
        <w:rPr>
          <w:b/>
        </w:rPr>
      </w:pPr>
      <w:r>
        <w:rPr>
          <w:b/>
          <w:noProof/>
        </w:rPr>
        <w:drawing>
          <wp:inline distT="0" distB="0" distL="0" distR="0">
            <wp:extent cx="3162300" cy="2108200"/>
            <wp:effectExtent l="19050" t="19050" r="19050" b="254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st_Smiles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108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63F2E" w:rsidRPr="00037FAB" w:rsidRDefault="00C63F2E" w:rsidP="00F77311">
      <w:pPr>
        <w:rPr>
          <w:b/>
          <w:sz w:val="24"/>
        </w:rPr>
      </w:pPr>
      <w:r w:rsidRPr="00037FAB">
        <w:rPr>
          <w:b/>
          <w:sz w:val="24"/>
        </w:rPr>
        <w:lastRenderedPageBreak/>
        <w:t xml:space="preserve">Afterschool/Enrichment Programs </w:t>
      </w:r>
    </w:p>
    <w:p w:rsidR="00E94BF3" w:rsidRPr="008A30E5" w:rsidRDefault="00E94BF3" w:rsidP="00F77311">
      <w:pPr>
        <w:rPr>
          <w:b/>
        </w:rPr>
      </w:pPr>
    </w:p>
    <w:p w:rsidR="008A30E5" w:rsidRDefault="00F77311" w:rsidP="00F77311">
      <w:r w:rsidRPr="008A30E5">
        <w:t>Eight</w:t>
      </w:r>
      <w:r w:rsidRPr="008A30E5">
        <w:rPr>
          <w:b/>
        </w:rPr>
        <w:t xml:space="preserve"> Tennessee</w:t>
      </w:r>
      <w:r w:rsidRPr="008A30E5">
        <w:t xml:space="preserve"> afterschool programs serve</w:t>
      </w:r>
      <w:r w:rsidR="0039038A" w:rsidRPr="008A30E5">
        <w:t>d</w:t>
      </w:r>
      <w:r w:rsidRPr="008A30E5">
        <w:t xml:space="preserve"> 800 children teaching reading, science, math, technology, health, socialization and leadership to students through hands-on, experiential activities. The program is making great strides in social/emotional development </w:t>
      </w:r>
    </w:p>
    <w:p w:rsidR="00F77311" w:rsidRPr="008A30E5" w:rsidRDefault="00F77311" w:rsidP="00F77311">
      <w:proofErr w:type="gramStart"/>
      <w:r w:rsidRPr="008A30E5">
        <w:t>in</w:t>
      </w:r>
      <w:proofErr w:type="gramEnd"/>
      <w:r w:rsidRPr="008A30E5">
        <w:t xml:space="preserve"> children, which is a strong predictor of school </w:t>
      </w:r>
      <w:r w:rsidR="008A30E5">
        <w:t xml:space="preserve"> </w:t>
      </w:r>
      <w:r w:rsidRPr="008A30E5">
        <w:t>readiness.</w:t>
      </w:r>
    </w:p>
    <w:p w:rsidR="00F77311" w:rsidRPr="008A30E5" w:rsidRDefault="00F77311" w:rsidP="00F77311"/>
    <w:p w:rsidR="00F77311" w:rsidRPr="008A30E5" w:rsidRDefault="00F77311" w:rsidP="00F77311">
      <w:r w:rsidRPr="008A30E5">
        <w:t xml:space="preserve">Over 100 programs in </w:t>
      </w:r>
      <w:r w:rsidRPr="008A30E5">
        <w:rPr>
          <w:b/>
        </w:rPr>
        <w:t>New Mexico</w:t>
      </w:r>
      <w:r w:rsidRPr="008A30E5">
        <w:t xml:space="preserve">, based </w:t>
      </w:r>
      <w:r w:rsidR="001A5426">
        <w:t>on</w:t>
      </w:r>
      <w:r w:rsidRPr="008A30E5">
        <w:t xml:space="preserve"> improving knowledge and skills, </w:t>
      </w:r>
      <w:r w:rsidR="001A5426">
        <w:t>taught youth about</w:t>
      </w:r>
      <w:r w:rsidRPr="008A30E5">
        <w:t xml:space="preserve"> fitness, nutrition, safety</w:t>
      </w:r>
      <w:r w:rsidR="001A5426">
        <w:t>, substance abuse, and sewing</w:t>
      </w:r>
      <w:r w:rsidRPr="008A30E5">
        <w:t>.</w:t>
      </w:r>
    </w:p>
    <w:p w:rsidR="00F77311" w:rsidRPr="008A30E5" w:rsidRDefault="00F77311" w:rsidP="00F77311"/>
    <w:p w:rsidR="00F77311" w:rsidRPr="008A30E5" w:rsidRDefault="00F77311" w:rsidP="00F77311">
      <w:r w:rsidRPr="008A30E5">
        <w:t xml:space="preserve">In </w:t>
      </w:r>
      <w:r w:rsidRPr="008A30E5">
        <w:rPr>
          <w:b/>
        </w:rPr>
        <w:t>Iowa</w:t>
      </w:r>
      <w:r w:rsidR="0039038A" w:rsidRPr="008A30E5">
        <w:rPr>
          <w:b/>
        </w:rPr>
        <w:t>,</w:t>
      </w:r>
      <w:r w:rsidRPr="008A30E5">
        <w:t xml:space="preserve"> Extension-trained volunteers talk</w:t>
      </w:r>
      <w:r w:rsidR="0039038A" w:rsidRPr="008A30E5">
        <w:t>ed</w:t>
      </w:r>
      <w:r w:rsidRPr="008A30E5">
        <w:t xml:space="preserve"> with Latino families to discuss bridging the gap between high-school and college. This six-week program help</w:t>
      </w:r>
      <w:r w:rsidR="0039038A" w:rsidRPr="008A30E5">
        <w:t>ed</w:t>
      </w:r>
      <w:r w:rsidRPr="008A30E5">
        <w:t xml:space="preserve"> </w:t>
      </w:r>
      <w:r w:rsidR="00B36E0E">
        <w:t>these</w:t>
      </w:r>
      <w:r w:rsidRPr="008A30E5">
        <w:t xml:space="preserve"> families gain the knowledge and skills needed to </w:t>
      </w:r>
      <w:r w:rsidR="001A5426">
        <w:t xml:space="preserve">be </w:t>
      </w:r>
      <w:r w:rsidRPr="008A30E5">
        <w:t>success</w:t>
      </w:r>
      <w:r w:rsidR="001A5426">
        <w:t>ful</w:t>
      </w:r>
      <w:r w:rsidRPr="008A30E5">
        <w:t xml:space="preserve"> during this time of transition.</w:t>
      </w:r>
    </w:p>
    <w:p w:rsidR="00F77311" w:rsidRDefault="00F77311" w:rsidP="00F77311"/>
    <w:p w:rsidR="008A6BD1" w:rsidRDefault="008A6BD1" w:rsidP="00F77311"/>
    <w:p w:rsidR="008A6BD1" w:rsidRPr="008A30E5" w:rsidRDefault="008A6BD1" w:rsidP="00F77311"/>
    <w:p w:rsidR="008A6BD1" w:rsidRPr="00610105" w:rsidRDefault="008A6BD1" w:rsidP="008A6BD1">
      <w:pPr>
        <w:rPr>
          <w:i/>
        </w:rPr>
      </w:pPr>
      <w:r>
        <w:rPr>
          <w:i/>
          <w:sz w:val="20"/>
        </w:rPr>
        <w:t>This report was compiled by Liz Kingsland, University of Kentucky Cooperative Extension, Public Affairs Education Subcommittee member, and Theresa Mayhew, Cornell Cooperative Extension, Vice President – Public Affairs.</w:t>
      </w:r>
      <w:r w:rsidR="00610105">
        <w:rPr>
          <w:sz w:val="20"/>
        </w:rPr>
        <w:t xml:space="preserve">         </w:t>
      </w:r>
      <w:r w:rsidR="00610105" w:rsidRPr="00610105">
        <w:rPr>
          <w:i/>
          <w:sz w:val="20"/>
        </w:rPr>
        <w:t xml:space="preserve">For more information, email </w:t>
      </w:r>
      <w:hyperlink r:id="rId15" w:history="1">
        <w:r w:rsidR="00610105" w:rsidRPr="00610105">
          <w:rPr>
            <w:rStyle w:val="Hyperlink"/>
            <w:i/>
            <w:sz w:val="20"/>
          </w:rPr>
          <w:t>tcm5@cornell.edu</w:t>
        </w:r>
      </w:hyperlink>
      <w:r w:rsidR="00610105" w:rsidRPr="00610105">
        <w:rPr>
          <w:i/>
          <w:sz w:val="20"/>
        </w:rPr>
        <w:t xml:space="preserve">. </w:t>
      </w:r>
    </w:p>
    <w:p w:rsidR="004B577B" w:rsidRPr="008A30E5" w:rsidRDefault="004B577B">
      <w:pPr>
        <w:spacing w:line="200" w:lineRule="exact"/>
      </w:pPr>
    </w:p>
    <w:p w:rsidR="004B577B" w:rsidRPr="008A30E5" w:rsidRDefault="004B577B">
      <w:pPr>
        <w:spacing w:line="200" w:lineRule="exact"/>
      </w:pPr>
    </w:p>
    <w:p w:rsidR="004B577B" w:rsidRPr="008A30E5" w:rsidRDefault="004B577B">
      <w:pPr>
        <w:spacing w:line="200" w:lineRule="exact"/>
      </w:pPr>
    </w:p>
    <w:p w:rsidR="008A30E5" w:rsidRDefault="008A30E5">
      <w:pPr>
        <w:spacing w:line="200" w:lineRule="exact"/>
        <w:rPr>
          <w:szCs w:val="20"/>
        </w:rPr>
        <w:sectPr w:rsidR="008A30E5" w:rsidSect="008A30E5">
          <w:type w:val="continuous"/>
          <w:pgSz w:w="12240" w:h="15840"/>
          <w:pgMar w:top="1180" w:right="660" w:bottom="280" w:left="900" w:header="720" w:footer="720" w:gutter="0"/>
          <w:cols w:num="2" w:space="720"/>
        </w:sectPr>
      </w:pPr>
    </w:p>
    <w:p w:rsidR="004B577B" w:rsidRDefault="004B577B" w:rsidP="00612F39">
      <w:pPr>
        <w:spacing w:line="200" w:lineRule="exact"/>
        <w:rPr>
          <w:sz w:val="20"/>
          <w:szCs w:val="20"/>
        </w:rPr>
      </w:pPr>
    </w:p>
    <w:sectPr w:rsidR="004B577B">
      <w:type w:val="continuous"/>
      <w:pgSz w:w="12240" w:h="15840"/>
      <w:pgMar w:top="1500" w:right="6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FE9" w:rsidRDefault="007B1FE9" w:rsidP="008A30E5">
      <w:r>
        <w:separator/>
      </w:r>
    </w:p>
  </w:endnote>
  <w:endnote w:type="continuationSeparator" w:id="0">
    <w:p w:rsidR="007B1FE9" w:rsidRDefault="007B1FE9" w:rsidP="008A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39" w:rsidRDefault="00612F39" w:rsidP="00612F39">
    <w:pPr>
      <w:pStyle w:val="Footer"/>
    </w:pPr>
    <w:r>
      <w:rPr>
        <w:rFonts w:ascii="Arial" w:hAnsi="Arial" w:cs="Arial"/>
        <w:b/>
        <w:bCs/>
        <w:color w:val="000000"/>
        <w:sz w:val="21"/>
        <w:szCs w:val="21"/>
      </w:rPr>
      <w:t xml:space="preserve">National Extension Association of Family and Consumer Sciences (NEAFCS) </w:t>
    </w:r>
    <w:r>
      <w:rPr>
        <w:rFonts w:ascii="Arial" w:hAnsi="Arial" w:cs="Arial"/>
        <w:color w:val="000000"/>
        <w:sz w:val="21"/>
        <w:szCs w:val="21"/>
      </w:rPr>
      <w:t>provides professional development for Extension professionals who improve the quality of life for individuals, families, and communities and provide education in the areas of:  Childhood Obesity; Community Health and Wellness; Financial Management; Food and Nutrition; Food Safety; Healthy Homes and the Environment; Improving Children’s Lives; and Protecting our Resources – Family Life.</w:t>
    </w:r>
  </w:p>
  <w:p w:rsidR="008A30E5" w:rsidRDefault="008A30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FE9" w:rsidRDefault="007B1FE9" w:rsidP="008A30E5">
      <w:r>
        <w:separator/>
      </w:r>
    </w:p>
  </w:footnote>
  <w:footnote w:type="continuationSeparator" w:id="0">
    <w:p w:rsidR="007B1FE9" w:rsidRDefault="007B1FE9" w:rsidP="008A3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E5" w:rsidRPr="00FC2B06" w:rsidRDefault="008A30E5" w:rsidP="008A30E5">
    <w:pPr>
      <w:pStyle w:val="Header"/>
      <w:rPr>
        <w:b/>
      </w:rPr>
    </w:pPr>
    <w:r w:rsidRPr="00FC2B06">
      <w:rPr>
        <w:b/>
      </w:rPr>
      <w:t>PAGE 2                                                                                                                                                                       NEAFCS 2014</w:t>
    </w:r>
  </w:p>
  <w:p w:rsidR="008A30E5" w:rsidRDefault="008A30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655C5"/>
    <w:multiLevelType w:val="hybridMultilevel"/>
    <w:tmpl w:val="468860A4"/>
    <w:lvl w:ilvl="0" w:tplc="CD48B8AA">
      <w:start w:val="1"/>
      <w:numFmt w:val="bullet"/>
      <w:lvlText w:val=""/>
      <w:lvlJc w:val="left"/>
      <w:pPr>
        <w:ind w:left="477" w:hanging="360"/>
      </w:pPr>
      <w:rPr>
        <w:rFonts w:ascii="Symbol" w:eastAsia="Symbol" w:hAnsi="Symbol" w:hint="default"/>
        <w:color w:val="231F20"/>
        <w:w w:val="76"/>
        <w:sz w:val="20"/>
        <w:szCs w:val="20"/>
      </w:rPr>
    </w:lvl>
    <w:lvl w:ilvl="1" w:tplc="E3F86618">
      <w:start w:val="1"/>
      <w:numFmt w:val="bullet"/>
      <w:lvlText w:val="•"/>
      <w:lvlJc w:val="left"/>
      <w:pPr>
        <w:ind w:left="981" w:hanging="360"/>
      </w:pPr>
      <w:rPr>
        <w:rFonts w:hint="default"/>
      </w:rPr>
    </w:lvl>
    <w:lvl w:ilvl="2" w:tplc="2C7C0B7A">
      <w:start w:val="1"/>
      <w:numFmt w:val="bullet"/>
      <w:lvlText w:val="•"/>
      <w:lvlJc w:val="left"/>
      <w:pPr>
        <w:ind w:left="1485" w:hanging="360"/>
      </w:pPr>
      <w:rPr>
        <w:rFonts w:hint="default"/>
      </w:rPr>
    </w:lvl>
    <w:lvl w:ilvl="3" w:tplc="BEBEFF06">
      <w:start w:val="1"/>
      <w:numFmt w:val="bullet"/>
      <w:lvlText w:val="•"/>
      <w:lvlJc w:val="left"/>
      <w:pPr>
        <w:ind w:left="1990" w:hanging="360"/>
      </w:pPr>
      <w:rPr>
        <w:rFonts w:hint="default"/>
      </w:rPr>
    </w:lvl>
    <w:lvl w:ilvl="4" w:tplc="2AF45F1E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  <w:lvl w:ilvl="5" w:tplc="9818349E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6" w:tplc="D802443C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7" w:tplc="3918B0AA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8" w:tplc="F31074E6">
      <w:start w:val="1"/>
      <w:numFmt w:val="bullet"/>
      <w:lvlText w:val="•"/>
      <w:lvlJc w:val="left"/>
      <w:pPr>
        <w:ind w:left="451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6E"/>
    <w:rsid w:val="00037FAB"/>
    <w:rsid w:val="00077D3F"/>
    <w:rsid w:val="00154107"/>
    <w:rsid w:val="001A5426"/>
    <w:rsid w:val="0038486A"/>
    <w:rsid w:val="0039038A"/>
    <w:rsid w:val="00423111"/>
    <w:rsid w:val="004901A8"/>
    <w:rsid w:val="004B577B"/>
    <w:rsid w:val="004E132C"/>
    <w:rsid w:val="00583D0B"/>
    <w:rsid w:val="005E716E"/>
    <w:rsid w:val="00610105"/>
    <w:rsid w:val="00612F39"/>
    <w:rsid w:val="007442E4"/>
    <w:rsid w:val="007B1FE9"/>
    <w:rsid w:val="008126FF"/>
    <w:rsid w:val="008A30E5"/>
    <w:rsid w:val="008A6BD1"/>
    <w:rsid w:val="00937793"/>
    <w:rsid w:val="009547D3"/>
    <w:rsid w:val="00B36E0E"/>
    <w:rsid w:val="00B508B7"/>
    <w:rsid w:val="00BB3D08"/>
    <w:rsid w:val="00BC5094"/>
    <w:rsid w:val="00C63F2E"/>
    <w:rsid w:val="00C74AA2"/>
    <w:rsid w:val="00D35934"/>
    <w:rsid w:val="00E94BF3"/>
    <w:rsid w:val="00F70867"/>
    <w:rsid w:val="00F77311"/>
    <w:rsid w:val="00F947D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b13b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4"/>
      <w:ind w:left="117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7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4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107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B508B7"/>
    <w:pPr>
      <w:widowControl/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3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0E5"/>
  </w:style>
  <w:style w:type="paragraph" w:styleId="Footer">
    <w:name w:val="footer"/>
    <w:basedOn w:val="Normal"/>
    <w:link w:val="FooterChar"/>
    <w:uiPriority w:val="99"/>
    <w:unhideWhenUsed/>
    <w:rsid w:val="008A3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0E5"/>
  </w:style>
  <w:style w:type="character" w:styleId="Hyperlink">
    <w:name w:val="Hyperlink"/>
    <w:basedOn w:val="DefaultParagraphFont"/>
    <w:uiPriority w:val="99"/>
    <w:unhideWhenUsed/>
    <w:rsid w:val="00610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4"/>
      <w:ind w:left="117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7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4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107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B508B7"/>
    <w:pPr>
      <w:widowControl/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3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0E5"/>
  </w:style>
  <w:style w:type="paragraph" w:styleId="Footer">
    <w:name w:val="footer"/>
    <w:basedOn w:val="Normal"/>
    <w:link w:val="FooterChar"/>
    <w:uiPriority w:val="99"/>
    <w:unhideWhenUsed/>
    <w:rsid w:val="008A3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0E5"/>
  </w:style>
  <w:style w:type="character" w:styleId="Hyperlink">
    <w:name w:val="Hyperlink"/>
    <w:basedOn w:val="DefaultParagraphFont"/>
    <w:uiPriority w:val="99"/>
    <w:unhideWhenUsed/>
    <w:rsid w:val="00610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eafcs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tcm5@cornell.edu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76F1-BA15-4B08-8EA2-307D71AA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AE84A341</Template>
  <TotalTime>19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NEAFCSImpact2012.pdf</vt:lpstr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NEAFCSImpact2012.pdf</dc:title>
  <dc:creator>Amy Peterson</dc:creator>
  <cp:lastModifiedBy>Theresa Mayhew</cp:lastModifiedBy>
  <cp:revision>7</cp:revision>
  <cp:lastPrinted>2014-03-31T16:42:00Z</cp:lastPrinted>
  <dcterms:created xsi:type="dcterms:W3CDTF">2014-04-02T18:03:00Z</dcterms:created>
  <dcterms:modified xsi:type="dcterms:W3CDTF">2014-04-03T19:39:00Z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2012-04-24T00:00:00Z</vt:filetime>
  </property>
  <property fmtid="{D5CDD505-2E9C-101B-9397-08002B2CF9AE}" pid="3" name="LastSaved">
    <vt:filetime>2014-03-24T00:00:00Z</vt:filetime>
  </property>
</Properties>
</file>